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before="0" w:after="6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Табела 9.1.</w:t>
      </w:r>
      <w:r>
        <w:rPr>
          <w:rFonts w:ascii="Times New Roman" w:hAnsi="Times New Roman"/>
        </w:rPr>
        <w:t xml:space="preserve"> Научне, уметничке и стручне квалификације наставника и задужења у настави</w:t>
      </w:r>
    </w:p>
    <w:p>
      <w:pPr>
        <w:pStyle w:val="Normal"/>
        <w:spacing w:before="0" w:after="6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Табела 9. 0. Укупни подаци о наставном особљу у установи –</w:t>
      </w:r>
      <w:r>
        <w:rPr>
          <w:rFonts w:ascii="Times New Roman" w:hAnsi="Times New Roman"/>
          <w:b/>
          <w:smallCaps/>
          <w:sz w:val="20"/>
          <w:szCs w:val="20"/>
        </w:rPr>
        <w:t xml:space="preserve"> ЕЛЕКТРОНСКИ ОБРАЗАЦ</w:t>
      </w:r>
      <w:r>
        <w:rPr>
          <w:rFonts w:ascii="Times New Roman" w:hAnsi="Times New Roman"/>
          <w:b/>
          <w:sz w:val="20"/>
          <w:szCs w:val="20"/>
        </w:rPr>
        <w:t xml:space="preserve"> ( листа се формира приликом уноса података у електронски формулар, установа је обавезна да у ову табелу унесе све податке који се траже)</w:t>
      </w:r>
    </w:p>
    <w:p>
      <w:pPr>
        <w:pStyle w:val="Normal"/>
        <w:tabs>
          <w:tab w:val="left" w:pos="567" w:leader="none"/>
        </w:tabs>
        <w:spacing w:before="0" w:after="60"/>
        <w:jc w:val="both"/>
        <w:rPr>
          <w:rFonts w:ascii="Times New Roman" w:hAnsi="Times New Roman"/>
          <w:b/>
          <w:i/>
          <w:iCs/>
          <w:color w:val="FF0000"/>
          <w:sz w:val="20"/>
          <w:szCs w:val="20"/>
        </w:rPr>
      </w:pPr>
      <w:r>
        <w:rPr>
          <w:rFonts w:ascii="Times New Roman" w:hAnsi="Times New Roman"/>
          <w:b/>
          <w:i/>
          <w:iCs/>
          <w:color w:val="FF0000"/>
          <w:sz w:val="20"/>
          <w:szCs w:val="20"/>
        </w:rPr>
      </w:r>
    </w:p>
    <w:p>
      <w:pPr>
        <w:pStyle w:val="Normal"/>
        <w:tabs>
          <w:tab w:val="left" w:pos="567" w:leader="none"/>
        </w:tabs>
        <w:spacing w:before="0" w:after="6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Табела 9.1.</w:t>
      </w:r>
      <w:r>
        <w:rPr>
          <w:rFonts w:ascii="Times New Roman" w:hAnsi="Times New Roman"/>
          <w:i/>
          <w:iCs/>
          <w:sz w:val="20"/>
          <w:szCs w:val="20"/>
        </w:rPr>
        <w:t xml:space="preserve"> Научне, уметничке и стручне квалификације наставника и задужења у настави</w:t>
      </w:r>
    </w:p>
    <w:p>
      <w:pPr>
        <w:pStyle w:val="Normal"/>
        <w:tabs>
          <w:tab w:val="left" w:pos="567" w:leader="none"/>
        </w:tabs>
        <w:spacing w:before="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tabs>
          <w:tab w:val="left" w:pos="567" w:leader="none"/>
        </w:tabs>
        <w:spacing w:before="0" w:after="60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Опис квалификација треба дати за све наставнике који учествују у реализацији студијског програма а би се избегло понављање, опис квалификација се алтернативно може дати у оквиру </w:t>
      </w:r>
      <w:r>
        <w:rPr>
          <w:rFonts w:ascii="Times New Roman" w:hAnsi="Times New Roman"/>
          <w:b/>
          <w:sz w:val="20"/>
          <w:szCs w:val="20"/>
        </w:rPr>
        <w:t xml:space="preserve">књиге наставника </w:t>
      </w:r>
      <w:r>
        <w:rPr>
          <w:rFonts w:ascii="Times New Roman" w:hAnsi="Times New Roman"/>
          <w:bCs/>
          <w:sz w:val="20"/>
          <w:szCs w:val="20"/>
        </w:rPr>
        <w:t xml:space="preserve">урађене по овом узору за све наставнике високошколске установе. Књига наставника у том случају </w:t>
      </w:r>
    </w:p>
    <w:p>
      <w:pPr>
        <w:pStyle w:val="Normal"/>
        <w:tabs>
          <w:tab w:val="left" w:pos="567" w:leader="none"/>
        </w:tabs>
        <w:spacing w:before="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представља јединствен прилог за све студијске програме.</w:t>
      </w:r>
      <w:r>
        <w:rPr>
          <w:rFonts w:ascii="Times New Roman" w:hAnsi="Times New Roman"/>
          <w:sz w:val="20"/>
          <w:szCs w:val="20"/>
        </w:rPr>
        <w:t xml:space="preserve"> </w:t>
      </w:r>
    </w:p>
    <w:p>
      <w:pPr>
        <w:pStyle w:val="Normal"/>
        <w:tabs>
          <w:tab w:val="left" w:pos="567" w:leader="none"/>
        </w:tabs>
        <w:spacing w:before="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tabs>
          <w:tab w:val="left" w:pos="567" w:leader="none"/>
        </w:tabs>
        <w:spacing w:before="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tbl>
      <w:tblPr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7"/>
        <w:gridCol w:w="982"/>
        <w:gridCol w:w="1036"/>
        <w:gridCol w:w="874"/>
        <w:gridCol w:w="1836"/>
        <w:gridCol w:w="1889"/>
      </w:tblGrid>
      <w:tr>
        <w:trPr>
          <w:trHeight w:val="427" w:hRule="atLeast"/>
          <w:cantSplit w:val="false"/>
        </w:trPr>
        <w:tc>
          <w:tcPr>
            <w:tcW w:w="43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Име и презиме </w:t>
            </w:r>
          </w:p>
        </w:tc>
        <w:tc>
          <w:tcPr>
            <w:tcW w:w="45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Мирослав Марић</w:t>
            </w:r>
          </w:p>
        </w:tc>
      </w:tr>
      <w:tr>
        <w:trPr>
          <w:trHeight w:val="427" w:hRule="atLeast"/>
          <w:cantSplit w:val="false"/>
        </w:trPr>
        <w:tc>
          <w:tcPr>
            <w:tcW w:w="43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Звање</w:t>
            </w:r>
          </w:p>
        </w:tc>
        <w:tc>
          <w:tcPr>
            <w:tcW w:w="45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Ванредни професор</w:t>
            </w:r>
          </w:p>
        </w:tc>
      </w:tr>
      <w:tr>
        <w:trPr>
          <w:trHeight w:val="427" w:hRule="atLeast"/>
          <w:cantSplit w:val="false"/>
        </w:trPr>
        <w:tc>
          <w:tcPr>
            <w:tcW w:w="43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5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Универзитет у Београду – Математички факултет</w:t>
            </w:r>
          </w:p>
        </w:tc>
      </w:tr>
      <w:tr>
        <w:trPr>
          <w:trHeight w:val="427" w:hRule="atLeast"/>
          <w:cantSplit w:val="false"/>
        </w:trPr>
        <w:tc>
          <w:tcPr>
            <w:tcW w:w="435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Ужа научна односно уметничка област</w:t>
            </w:r>
          </w:p>
        </w:tc>
        <w:tc>
          <w:tcPr>
            <w:tcW w:w="459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Рачунарство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 информатика</w:t>
            </w:r>
          </w:p>
        </w:tc>
      </w:tr>
      <w:tr>
        <w:trPr>
          <w:trHeight w:val="427" w:hRule="atLeast"/>
          <w:cantSplit w:val="false"/>
        </w:trPr>
        <w:tc>
          <w:tcPr>
            <w:tcW w:w="895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Академска каријера</w:t>
            </w:r>
          </w:p>
        </w:tc>
      </w:tr>
      <w:tr>
        <w:trPr>
          <w:trHeight w:val="427" w:hRule="atLeast"/>
          <w:cantSplit w:val="false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Година </w:t>
            </w:r>
          </w:p>
        </w:tc>
        <w:tc>
          <w:tcPr>
            <w:tcW w:w="19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Институција 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Научна или уметничка област </w:t>
            </w: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>
        <w:trPr>
          <w:trHeight w:val="427" w:hRule="atLeast"/>
          <w:cantSplit w:val="false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Избор у звање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2015.</w:t>
            </w:r>
          </w:p>
        </w:tc>
        <w:tc>
          <w:tcPr>
            <w:tcW w:w="19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Универзитет у Београду – Математички факултет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</w:tr>
      <w:tr>
        <w:trPr>
          <w:trHeight w:val="427" w:hRule="atLeast"/>
          <w:cantSplit w:val="false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Докторат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2008.</w:t>
            </w:r>
          </w:p>
        </w:tc>
        <w:tc>
          <w:tcPr>
            <w:tcW w:w="19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Универзитет у Београду – Математички факултет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</w:tr>
      <w:tr>
        <w:trPr>
          <w:trHeight w:val="427" w:hRule="atLeast"/>
          <w:cantSplit w:val="false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Специјализација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27" w:hRule="atLeast"/>
          <w:cantSplit w:val="false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Магистратура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2006.</w:t>
            </w:r>
          </w:p>
        </w:tc>
        <w:tc>
          <w:tcPr>
            <w:tcW w:w="19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Универзитет у Београду – Математички факултет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</w:tr>
      <w:tr>
        <w:trPr>
          <w:trHeight w:val="427" w:hRule="atLeast"/>
          <w:cantSplit w:val="false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9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27" w:hRule="atLeast"/>
          <w:cantSplit w:val="false"/>
        </w:trPr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Диплома</w:t>
            </w:r>
          </w:p>
        </w:tc>
        <w:tc>
          <w:tcPr>
            <w:tcW w:w="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2002.</w:t>
            </w:r>
          </w:p>
        </w:tc>
        <w:tc>
          <w:tcPr>
            <w:tcW w:w="191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Универзитет у Београду – Математички факултет</w:t>
            </w:r>
          </w:p>
        </w:tc>
        <w:tc>
          <w:tcPr>
            <w:tcW w:w="1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  <w:tc>
          <w:tcPr>
            <w:tcW w:w="1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Рачунарство и информатика</w:t>
            </w:r>
          </w:p>
        </w:tc>
      </w:tr>
    </w:tbl>
    <w:p>
      <w:pPr>
        <w:pStyle w:val="Normal"/>
        <w:rPr/>
      </w:pPr>
      <w:r>
        <w:rPr/>
      </w:r>
    </w:p>
    <w:tbl>
      <w:tblPr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1068"/>
        <w:gridCol w:w="2583"/>
        <w:gridCol w:w="1353"/>
        <w:gridCol w:w="1573"/>
        <w:gridCol w:w="1561"/>
      </w:tblGrid>
      <w:tr>
        <w:trPr>
          <w:trHeight w:val="427" w:hRule="atLeast"/>
          <w:cantSplit w:val="false"/>
        </w:trPr>
        <w:tc>
          <w:tcPr>
            <w:tcW w:w="895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pageBreakBefore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>
        <w:trPr>
          <w:trHeight w:val="822" w:hRule="atLeast"/>
          <w:cantSplit w:val="false"/>
        </w:trPr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Р.Б.</w:t>
            </w:r>
          </w:p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1,2,3....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предмета     </w:t>
            </w: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Врста студија (ОСС, ССС, ОАС, МСС, МАС, САС)</w:t>
            </w:r>
          </w:p>
        </w:tc>
      </w:tr>
      <w:tr>
        <w:trPr>
          <w:trHeight w:val="427" w:hRule="atLeast"/>
          <w:cantSplit w:val="false"/>
        </w:trPr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РМ14</w:t>
            </w:r>
          </w:p>
        </w:tc>
        <w:tc>
          <w:tcPr>
            <w:tcW w:w="2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Оперативни системи</w:t>
            </w: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Теоријска настава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>
        <w:trPr>
          <w:trHeight w:val="427" w:hRule="atLeast"/>
          <w:cantSplit w:val="false"/>
        </w:trPr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Р225</w:t>
            </w:r>
          </w:p>
        </w:tc>
        <w:tc>
          <w:tcPr>
            <w:tcW w:w="2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Оперативни системи </w:t>
            </w: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Теоријска настава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Информатика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>
        <w:trPr>
          <w:trHeight w:val="427" w:hRule="atLeast"/>
          <w:cantSplit w:val="false"/>
        </w:trPr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РМ05</w:t>
            </w:r>
          </w:p>
        </w:tc>
        <w:tc>
          <w:tcPr>
            <w:tcW w:w="2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рачунарства А</w:t>
            </w: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Теоријска настава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ОАС</w:t>
            </w:r>
          </w:p>
        </w:tc>
      </w:tr>
      <w:tr>
        <w:trPr>
          <w:trHeight w:val="427" w:hRule="atLeast"/>
          <w:cantSplit w:val="false"/>
        </w:trPr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2РМ01</w:t>
            </w:r>
          </w:p>
        </w:tc>
        <w:tc>
          <w:tcPr>
            <w:tcW w:w="2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Методика наставе рачунарства Ц са практикумом</w:t>
            </w: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Теоријска настава</w:t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</w:t>
            </w:r>
          </w:p>
        </w:tc>
      </w:tr>
      <w:tr>
        <w:trPr>
          <w:trHeight w:val="427" w:hRule="atLeast"/>
          <w:cantSplit w:val="false"/>
        </w:trPr>
        <w:tc>
          <w:tcPr>
            <w:tcW w:w="8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3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tbl>
      <w:tblPr>
        <w:jc w:val="left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1"/>
        <w:gridCol w:w="587"/>
        <w:gridCol w:w="1872"/>
        <w:gridCol w:w="1557"/>
        <w:gridCol w:w="3307"/>
      </w:tblGrid>
      <w:tr>
        <w:trPr>
          <w:trHeight w:val="427" w:hRule="atLeast"/>
          <w:cantSplit w:val="false"/>
        </w:trPr>
        <w:tc>
          <w:tcPr>
            <w:tcW w:w="895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pageBreakBefore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Репрезентативне референце (минимално 5 не више од 10)</w:t>
            </w:r>
          </w:p>
        </w:tc>
      </w:tr>
      <w:tr>
        <w:trPr>
          <w:trHeight w:val="427" w:hRule="atLeast"/>
          <w:cantSplit w:val="false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eastAsia="Times New Roman" w:ascii="Times New Roman" w:hAnsi="Times New Roman"/>
                <w:color w:val="444444"/>
              </w:rPr>
            </w:pPr>
            <w:r>
              <w:rPr>
                <w:rFonts w:eastAsia="Times New Roman" w:ascii="Times New Roman" w:hAnsi="Times New Roman"/>
                <w:color w:val="444444"/>
              </w:rPr>
              <w:t>Marić М., </w:t>
            </w:r>
            <w:r>
              <w:rPr>
                <w:rFonts w:eastAsia="Times New Roman" w:ascii="Times New Roman" w:hAnsi="Times New Roman"/>
                <w:i/>
                <w:iCs/>
                <w:color w:val="444444"/>
              </w:rPr>
              <w:t>An Efficient Genetic Algorithm For Solving The Multi-Level Uncapacitated Facility Location Problem</w:t>
            </w:r>
            <w:r>
              <w:rPr>
                <w:rFonts w:eastAsia="Times New Roman" w:ascii="Times New Roman" w:hAnsi="Times New Roman"/>
                <w:color w:val="444444"/>
              </w:rPr>
              <w:t>, Computing and Informatics, 29 (2), pp 183-201, 2010. (M23, ISSN: 1335-9150, IF: 0.356)</w:t>
            </w:r>
          </w:p>
        </w:tc>
      </w:tr>
      <w:tr>
        <w:trPr>
          <w:trHeight w:val="427" w:hRule="atLeast"/>
          <w:cantSplit w:val="false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eastAsia="Times New Roman" w:ascii="Times New Roman" w:hAnsi="Times New Roman"/>
                <w:color w:val="444444"/>
              </w:rPr>
            </w:pPr>
            <w:r>
              <w:rPr>
                <w:rFonts w:eastAsia="Times New Roman" w:ascii="Times New Roman" w:hAnsi="Times New Roman"/>
                <w:color w:val="444444"/>
              </w:rPr>
              <w:t>Marić M., Stanimirović Z., Stanojević P., </w:t>
            </w:r>
            <w:r>
              <w:rPr>
                <w:rFonts w:eastAsia="Times New Roman" w:ascii="Times New Roman" w:hAnsi="Times New Roman"/>
                <w:i/>
                <w:iCs/>
                <w:color w:val="444444"/>
              </w:rPr>
              <w:t>An efficient memetic algorithm for the uncapacitated single allocation hub location problem</w:t>
            </w:r>
            <w:r>
              <w:rPr>
                <w:rFonts w:eastAsia="Times New Roman" w:ascii="Times New Roman" w:hAnsi="Times New Roman"/>
                <w:color w:val="444444"/>
              </w:rPr>
              <w:t>, Soft Computing, Volume 17, Issue 3, pp 445-466, 2013. (M21, ISSN: 1432-7643, IF: 1.304)</w:t>
            </w:r>
          </w:p>
        </w:tc>
      </w:tr>
      <w:tr>
        <w:trPr>
          <w:trHeight w:val="427" w:hRule="atLeast"/>
          <w:cantSplit w:val="false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eastAsia="Times New Roman" w:ascii="Times New Roman" w:hAnsi="Times New Roman"/>
                <w:color w:val="444444"/>
              </w:rPr>
            </w:pPr>
            <w:r>
              <w:rPr>
                <w:rFonts w:eastAsia="Times New Roman" w:ascii="Times New Roman" w:hAnsi="Times New Roman"/>
                <w:color w:val="444444"/>
              </w:rPr>
              <w:t xml:space="preserve">Marić M., Stanimirović Z., Djenić A., Stanojević P., </w:t>
            </w:r>
            <w:r>
              <w:rPr>
                <w:rFonts w:eastAsia="Times New Roman" w:ascii="Times New Roman" w:hAnsi="Times New Roman"/>
                <w:i/>
                <w:color w:val="444444"/>
              </w:rPr>
              <w:t>Memetic Algorithm for Solving the Multilevel Uncapacitated Facility Location Problem</w:t>
            </w:r>
            <w:r>
              <w:rPr>
                <w:rFonts w:eastAsia="Times New Roman" w:ascii="Times New Roman" w:hAnsi="Times New Roman"/>
                <w:color w:val="444444"/>
              </w:rPr>
              <w:t>, INFORMATICA, Vol. 25, No. 3, pp. 439–466, 2014. (M21, ISSN:0868-4952, IF:0.873)</w:t>
            </w:r>
          </w:p>
        </w:tc>
      </w:tr>
      <w:tr>
        <w:trPr>
          <w:trHeight w:val="427" w:hRule="atLeast"/>
          <w:cantSplit w:val="false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eastAsia="Times New Roman" w:ascii="Times New Roman" w:hAnsi="Times New Roman"/>
                <w:color w:val="444444"/>
              </w:rPr>
            </w:pPr>
            <w:r>
              <w:rPr>
                <w:rFonts w:eastAsia="Times New Roman" w:ascii="Times New Roman" w:hAnsi="Times New Roman"/>
                <w:color w:val="444444"/>
              </w:rPr>
              <w:t xml:space="preserve">Marić M., Stanimirović Z., Božović S., </w:t>
            </w:r>
            <w:r>
              <w:rPr>
                <w:rFonts w:eastAsia="Times New Roman" w:ascii="Times New Roman" w:hAnsi="Times New Roman"/>
                <w:i/>
                <w:color w:val="444444"/>
              </w:rPr>
              <w:t>Hybrid metaheuristic method for determining locations for long-term health care facilities</w:t>
            </w:r>
            <w:r>
              <w:rPr>
                <w:rFonts w:eastAsia="Times New Roman" w:ascii="Times New Roman" w:hAnsi="Times New Roman"/>
                <w:color w:val="444444"/>
              </w:rPr>
              <w:t>, Annals of Operations Research, Volume 227, Issue 1, pp. 3-23, 2015. (M22, ISSN: 0254-5330, IF: 1.217)</w:t>
            </w:r>
          </w:p>
        </w:tc>
      </w:tr>
      <w:tr>
        <w:trPr>
          <w:trHeight w:val="427" w:hRule="atLeast"/>
          <w:cantSplit w:val="false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eastAsia="Times New Roman" w:ascii="Times New Roman" w:hAnsi="Times New Roman"/>
                <w:color w:val="444444"/>
              </w:rPr>
            </w:pPr>
            <w:r>
              <w:rPr>
                <w:rFonts w:eastAsia="Times New Roman" w:ascii="Times New Roman" w:hAnsi="Times New Roman"/>
                <w:color w:val="444444"/>
              </w:rPr>
              <w:t xml:space="preserve">Stanojević P., Marić M., Stanimirović Z., </w:t>
            </w:r>
            <w:r>
              <w:rPr>
                <w:rFonts w:eastAsia="Times New Roman" w:ascii="Times New Roman" w:hAnsi="Times New Roman"/>
                <w:i/>
                <w:color w:val="444444"/>
              </w:rPr>
              <w:t>A hybridization of an evolutionary algorithm and a parallel branch and bound for solving the capacitated single allocation hub location problem</w:t>
            </w:r>
            <w:r>
              <w:rPr>
                <w:rFonts w:eastAsia="Times New Roman" w:ascii="Times New Roman" w:hAnsi="Times New Roman"/>
                <w:color w:val="444444"/>
              </w:rPr>
              <w:t>, Applied Soft Computing, Volume 33, pp. 24-36, 2015. (M21, ISSN: 1568-4946, IF: 2.810)</w:t>
            </w:r>
          </w:p>
        </w:tc>
      </w:tr>
      <w:tr>
        <w:trPr>
          <w:trHeight w:val="427" w:hRule="atLeast"/>
          <w:cantSplit w:val="false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eastAsia="Times New Roman" w:ascii="Times New Roman" w:hAnsi="Times New Roman"/>
                <w:color w:val="444444"/>
              </w:rPr>
            </w:pPr>
            <w:r>
              <w:rPr>
                <w:rFonts w:eastAsia="Times New Roman" w:ascii="Times New Roman" w:hAnsi="Times New Roman"/>
                <w:color w:val="444444"/>
              </w:rPr>
              <w:t xml:space="preserve">Djenić A., Radojičić N., Marić M., Mladenović M., </w:t>
            </w:r>
            <w:r>
              <w:rPr>
                <w:rFonts w:eastAsia="Times New Roman" w:ascii="Times New Roman" w:hAnsi="Times New Roman"/>
                <w:i/>
                <w:color w:val="444444"/>
              </w:rPr>
              <w:t>Parallel VNS for Bus Terminal Location Problem</w:t>
            </w:r>
            <w:r>
              <w:rPr>
                <w:rFonts w:eastAsia="Times New Roman" w:ascii="Times New Roman" w:hAnsi="Times New Roman"/>
                <w:color w:val="444444"/>
              </w:rPr>
              <w:t>, Applied Soft Computing, Volume 42, pages 448–458, 2016. (М21, ISSN: 1568-4946, IF: 2.810)</w:t>
            </w:r>
          </w:p>
        </w:tc>
      </w:tr>
      <w:tr>
        <w:trPr>
          <w:trHeight w:val="427" w:hRule="atLeast"/>
          <w:cantSplit w:val="false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eastAsia="Times New Roman" w:ascii="Times New Roman" w:hAnsi="Times New Roman"/>
                <w:color w:val="444444"/>
              </w:rPr>
            </w:pPr>
            <w:r>
              <w:rPr>
                <w:rFonts w:eastAsia="Times New Roman" w:ascii="Times New Roman" w:hAnsi="Times New Roman"/>
                <w:color w:val="444444"/>
              </w:rPr>
              <w:t xml:space="preserve">Takači Đ., Marić M., Stankov G., Djenić A., </w:t>
            </w:r>
            <w:r>
              <w:rPr>
                <w:rFonts w:eastAsia="Times New Roman" w:ascii="Times New Roman" w:hAnsi="Times New Roman"/>
                <w:i/>
                <w:color w:val="444444"/>
              </w:rPr>
              <w:t>Efficiency of using VNS algorithm for forming heterogeneous groups for CSCL learning</w:t>
            </w:r>
            <w:r>
              <w:rPr>
                <w:rFonts w:eastAsia="Times New Roman" w:ascii="Times New Roman" w:hAnsi="Times New Roman"/>
                <w:color w:val="444444"/>
              </w:rPr>
              <w:t>, Computers &amp; Education, Volume 109, pp. 98-108, 2017. (M21a, ISSN: 0360-1315, IF: 3.771)</w:t>
            </w:r>
          </w:p>
        </w:tc>
      </w:tr>
      <w:tr>
        <w:trPr>
          <w:trHeight w:val="427" w:hRule="atLeast"/>
          <w:cantSplit w:val="false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eastAsia="Times New Roman" w:ascii="Times New Roman" w:hAnsi="Times New Roman"/>
                <w:color w:val="444444"/>
              </w:rPr>
            </w:pPr>
            <w:r>
              <w:rPr>
                <w:rFonts w:eastAsia="Times New Roman" w:ascii="Times New Roman" w:hAnsi="Times New Roman"/>
                <w:color w:val="444444"/>
              </w:rPr>
              <w:t xml:space="preserve">Radojičić N., Djenić A., Marić M., </w:t>
            </w:r>
            <w:r>
              <w:rPr>
                <w:rFonts w:eastAsia="Times New Roman" w:ascii="Times New Roman" w:hAnsi="Times New Roman"/>
                <w:i/>
                <w:color w:val="444444"/>
              </w:rPr>
              <w:t>Fuzzy GRASP with Path Relinking for the risk-constrained cash-in-transit vehicle routing problem</w:t>
            </w:r>
            <w:r>
              <w:rPr>
                <w:rFonts w:eastAsia="Times New Roman" w:ascii="Times New Roman" w:hAnsi="Times New Roman"/>
                <w:color w:val="444444"/>
              </w:rPr>
              <w:t>, Applied Soft Computing, Volume 72, pp. 486-497, 2018. (M21, ISSN 1568-4946, IF: 3.541)</w:t>
            </w:r>
          </w:p>
        </w:tc>
      </w:tr>
      <w:tr>
        <w:trPr>
          <w:trHeight w:val="427" w:hRule="atLeast"/>
          <w:cantSplit w:val="false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eastAsia="Times New Roman" w:ascii="Times New Roman" w:hAnsi="Times New Roman"/>
                <w:color w:val="444444"/>
              </w:rPr>
            </w:pPr>
            <w:r>
              <w:rPr>
                <w:rFonts w:eastAsia="Times New Roman" w:ascii="Times New Roman" w:hAnsi="Times New Roman"/>
                <w:color w:val="444444"/>
              </w:rPr>
              <w:t xml:space="preserve">Radojičić N., Marić M., Takači A., </w:t>
            </w:r>
            <w:r>
              <w:rPr>
                <w:rFonts w:eastAsia="Times New Roman" w:ascii="Times New Roman" w:hAnsi="Times New Roman"/>
                <w:i/>
                <w:color w:val="444444"/>
              </w:rPr>
              <w:t>New Fuzzy Version of the Risk-constrained Cash-in-Transit Vehicle Routing Problem</w:t>
            </w:r>
            <w:r>
              <w:rPr>
                <w:rFonts w:eastAsia="Times New Roman" w:ascii="Times New Roman" w:hAnsi="Times New Roman"/>
                <w:color w:val="444444"/>
              </w:rPr>
              <w:t>, Information technology and control, Volume 47, No 2, pp. 321-337, 2018. (M23, ISSN: 1392-124X, IF: 0.475)</w:t>
            </w:r>
          </w:p>
        </w:tc>
      </w:tr>
      <w:tr>
        <w:trPr>
          <w:trHeight w:val="427" w:hRule="atLeast"/>
          <w:cantSplit w:val="false"/>
        </w:trPr>
        <w:tc>
          <w:tcPr>
            <w:tcW w:w="16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numPr>
                <w:ilvl w:val="0"/>
                <w:numId w:val="1"/>
              </w:numPr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3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eastAsia="Times New Roman" w:ascii="Times New Roman" w:hAnsi="Times New Roman"/>
                <w:color w:val="444444"/>
              </w:rPr>
            </w:pPr>
            <w:r>
              <w:rPr>
                <w:rFonts w:eastAsia="Times New Roman" w:ascii="Times New Roman" w:hAnsi="Times New Roman"/>
                <w:color w:val="444444"/>
              </w:rPr>
              <w:t xml:space="preserve">Džamić D.,  Pei J., Marić M., Mladenović N., Pardalos P., </w:t>
            </w:r>
            <w:r>
              <w:rPr>
                <w:rFonts w:eastAsia="Times New Roman" w:ascii="Times New Roman" w:hAnsi="Times New Roman"/>
                <w:i/>
                <w:color w:val="444444"/>
              </w:rPr>
              <w:t>Exponential quality function for community detection in complex networks</w:t>
            </w:r>
            <w:r>
              <w:rPr>
                <w:rFonts w:eastAsia="Times New Roman" w:ascii="Times New Roman" w:hAnsi="Times New Roman"/>
                <w:color w:val="444444"/>
              </w:rPr>
              <w:t>, International Transactions in Operational Research, Volume 27, No. 1, pp. 245-266, 2020. (M21, ISSN:</w:t>
            </w:r>
            <w:r>
              <w:rPr/>
              <w:t xml:space="preserve"> </w:t>
            </w:r>
            <w:r>
              <w:rPr>
                <w:rFonts w:eastAsia="Times New Roman" w:ascii="Times New Roman" w:hAnsi="Times New Roman"/>
                <w:color w:val="444444"/>
              </w:rPr>
              <w:t>0969-6016, IF:</w:t>
            </w:r>
            <w:r>
              <w:rPr/>
              <w:t xml:space="preserve"> </w:t>
            </w:r>
            <w:r>
              <w:rPr>
                <w:rFonts w:eastAsia="Times New Roman" w:ascii="Times New Roman" w:hAnsi="Times New Roman"/>
                <w:color w:val="444444"/>
              </w:rPr>
              <w:t>2.400)</w:t>
            </w:r>
          </w:p>
        </w:tc>
      </w:tr>
      <w:tr>
        <w:trPr>
          <w:trHeight w:val="427" w:hRule="atLeast"/>
          <w:cantSplit w:val="false"/>
        </w:trPr>
        <w:tc>
          <w:tcPr>
            <w:tcW w:w="895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>
        <w:trPr>
          <w:trHeight w:val="427" w:hRule="atLeast"/>
          <w:cantSplit w:val="false"/>
        </w:trPr>
        <w:tc>
          <w:tcPr>
            <w:tcW w:w="40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Укупан број цитата</w:t>
            </w:r>
          </w:p>
        </w:tc>
        <w:tc>
          <w:tcPr>
            <w:tcW w:w="48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</w:tr>
      <w:tr>
        <w:trPr>
          <w:trHeight w:val="427" w:hRule="atLeast"/>
          <w:cantSplit w:val="false"/>
        </w:trPr>
        <w:tc>
          <w:tcPr>
            <w:tcW w:w="40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Укупан број радова са SCI (SSCI) листе</w:t>
            </w:r>
          </w:p>
        </w:tc>
        <w:tc>
          <w:tcPr>
            <w:tcW w:w="486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</w:tr>
      <w:tr>
        <w:trPr>
          <w:trHeight w:val="278" w:hRule="atLeast"/>
          <w:cantSplit w:val="false"/>
        </w:trPr>
        <w:tc>
          <w:tcPr>
            <w:tcW w:w="40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Тренутно учешће на пројектима </w:t>
            </w:r>
          </w:p>
        </w:tc>
        <w:tc>
          <w:tcPr>
            <w:tcW w:w="1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Домаћи 1</w:t>
            </w:r>
          </w:p>
        </w:tc>
        <w:tc>
          <w:tcPr>
            <w:tcW w:w="33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Међународни 1</w:t>
            </w:r>
          </w:p>
        </w:tc>
      </w:tr>
      <w:tr>
        <w:trPr>
          <w:trHeight w:val="427" w:hRule="atLeast"/>
          <w:cantSplit w:val="false"/>
        </w:trPr>
        <w:tc>
          <w:tcPr>
            <w:tcW w:w="22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Усавршавања </w:t>
            </w:r>
          </w:p>
        </w:tc>
        <w:tc>
          <w:tcPr>
            <w:tcW w:w="67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427" w:hRule="atLeast"/>
          <w:cantSplit w:val="false"/>
        </w:trPr>
        <w:tc>
          <w:tcPr>
            <w:tcW w:w="895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Други подаци које сматрате релевантним</w:t>
            </w:r>
          </w:p>
        </w:tc>
      </w:tr>
      <w:tr>
        <w:trPr>
          <w:trHeight w:val="427" w:hRule="atLeast"/>
          <w:cantSplit w:val="false"/>
        </w:trPr>
        <w:tc>
          <w:tcPr>
            <w:tcW w:w="895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 сме прећи једну А4 страну.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"/>
      <w:lvlJc w:val="left"/>
      <w:pPr>
        <w:ind w:left="720" w:hanging="360"/>
      </w:pPr>
    </w:lvl>
    <w:lvl w:ilvl="1">
      <w:start w:val="1"/>
      <w:numFmt w:val="lowerLetter"/>
      <w:lvlText w:val="%2"/>
      <w:lvlJc w:val="left"/>
      <w:pPr>
        <w:ind w:left="1440" w:hanging="360"/>
      </w:p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sr-Latn-RS" w:eastAsia="en-US" w:bidi="ar-SA"/>
      </w:rPr>
    </w:rPrDefault>
    <w:pPrDefault>
      <w:pPr>
        <w:spacing w:lineRule="auto" w:line="256"/>
      </w:pPr>
    </w:pPrDefault>
  </w:docDefaults>
  <w:latentStyles w:count="371" w:defSemiHidden="0" w:defUIPriority="99" w:defQFormat="0" w:defUnhideWhenUsed="0" w:defLockedState="0">
    <w:lsdException w:qFormat="1" w:uiPriority="0" w:name="Normal"/>
    <w:lsdException w:qFormat="1" w:uiPriority="9" w:name="heading 1"/>
    <w:lsdException w:unhideWhenUsed="1" w:semiHidden="1" w:qFormat="1" w:uiPriority="9" w:name="heading 2"/>
    <w:lsdException w:unhideWhenUsed="1" w:semiHidden="1" w:qFormat="1" w:uiPriority="9" w:name="heading 3"/>
    <w:lsdException w:unhideWhenUsed="1" w:semiHidden="1" w:qFormat="1" w:uiPriority="9" w:name="heading 4"/>
    <w:lsdException w:unhideWhenUsed="1" w:semiHidden="1" w:qFormat="1" w:uiPriority="9" w:name="heading 5"/>
    <w:lsdException w:unhideWhenUsed="1" w:semiHidden="1" w:qFormat="1" w:uiPriority="9" w:name="heading 6"/>
    <w:lsdException w:unhideWhenUsed="1" w:semiHidden="1" w:qFormat="1" w:uiPriority="9" w:name="heading 7"/>
    <w:lsdException w:unhideWhenUsed="1" w:semiHidden="1" w:qFormat="1" w:uiPriority="9" w:name="heading 8"/>
    <w:lsdException w:unhideWhenUsed="1" w:semiHidden="1" w:qFormat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unhideWhenUsed="1" w:semiHidden="1" w:qFormat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unhideWhenUsed="1" w:semiHidden="1" w:qFormat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4d0ed1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Times New Roman"/>
      <w:color w:val="auto"/>
      <w:sz w:val="22"/>
      <w:szCs w:val="22"/>
      <w:lang w:val="sr-RS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2020-04-15T11:07:00Z</dcterms:created>
  <dc:creator>Mirjana Nikolic</dc:creator>
  <dc:language>en-US</dc:language>
  <cp:lastModifiedBy>Korisnik</cp:lastModifiedBy>
  <dcterms:modified xsi:type="dcterms:W3CDTF">2020-04-16T19:02:00Z</dcterms:modified>
  <cp:revision>9</cp:revision>
</cp:coreProperties>
</file>